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794" w:rsidRPr="00571794" w:rsidRDefault="002F5358" w:rsidP="00571794">
      <w:pPr>
        <w:spacing w:line="480" w:lineRule="auto"/>
        <w:rPr>
          <w:rFonts w:ascii="Times New Roman" w:hAnsi="Times New Roman" w:cs="Times New Roman"/>
          <w:sz w:val="24"/>
          <w:szCs w:val="24"/>
        </w:rPr>
      </w:pPr>
      <w:r w:rsidRPr="00571794">
        <w:rPr>
          <w:rFonts w:ascii="Times New Roman" w:hAnsi="Times New Roman" w:cs="Times New Roman"/>
          <w:sz w:val="24"/>
          <w:szCs w:val="24"/>
        </w:rPr>
        <w:t>Name:</w:t>
      </w:r>
    </w:p>
    <w:p w:rsidR="00571794" w:rsidRPr="00571794" w:rsidRDefault="002F5358" w:rsidP="00571794">
      <w:pPr>
        <w:spacing w:line="480" w:lineRule="auto"/>
        <w:rPr>
          <w:rFonts w:ascii="Times New Roman" w:hAnsi="Times New Roman" w:cs="Times New Roman"/>
          <w:sz w:val="24"/>
          <w:szCs w:val="24"/>
        </w:rPr>
      </w:pPr>
      <w:r w:rsidRPr="00571794">
        <w:rPr>
          <w:rFonts w:ascii="Times New Roman" w:hAnsi="Times New Roman" w:cs="Times New Roman"/>
          <w:sz w:val="24"/>
          <w:szCs w:val="24"/>
        </w:rPr>
        <w:t>Professor:</w:t>
      </w:r>
    </w:p>
    <w:p w:rsidR="00571794" w:rsidRPr="00571794" w:rsidRDefault="002F5358" w:rsidP="00571794">
      <w:pPr>
        <w:spacing w:line="480" w:lineRule="auto"/>
        <w:rPr>
          <w:rFonts w:ascii="Times New Roman" w:hAnsi="Times New Roman" w:cs="Times New Roman"/>
          <w:sz w:val="24"/>
          <w:szCs w:val="24"/>
        </w:rPr>
      </w:pPr>
      <w:r w:rsidRPr="00571794">
        <w:rPr>
          <w:rFonts w:ascii="Times New Roman" w:hAnsi="Times New Roman" w:cs="Times New Roman"/>
          <w:sz w:val="24"/>
          <w:szCs w:val="24"/>
        </w:rPr>
        <w:t>Course Title:</w:t>
      </w:r>
    </w:p>
    <w:p w:rsidR="00571794" w:rsidRPr="00571794" w:rsidRDefault="002F5358" w:rsidP="00571794">
      <w:pPr>
        <w:spacing w:line="480" w:lineRule="auto"/>
        <w:rPr>
          <w:rFonts w:ascii="Times New Roman" w:hAnsi="Times New Roman" w:cs="Times New Roman"/>
          <w:sz w:val="24"/>
          <w:szCs w:val="24"/>
        </w:rPr>
      </w:pPr>
      <w:r w:rsidRPr="00571794">
        <w:rPr>
          <w:rFonts w:ascii="Times New Roman" w:hAnsi="Times New Roman" w:cs="Times New Roman"/>
          <w:sz w:val="24"/>
          <w:szCs w:val="24"/>
        </w:rPr>
        <w:t>Institution:</w:t>
      </w:r>
    </w:p>
    <w:p w:rsidR="00571794" w:rsidRDefault="002F5358" w:rsidP="00571794">
      <w:pPr>
        <w:spacing w:line="480" w:lineRule="auto"/>
        <w:rPr>
          <w:rFonts w:ascii="Times New Roman" w:hAnsi="Times New Roman" w:cs="Times New Roman"/>
          <w:sz w:val="24"/>
          <w:szCs w:val="24"/>
        </w:rPr>
      </w:pPr>
      <w:r w:rsidRPr="00571794">
        <w:rPr>
          <w:rFonts w:ascii="Times New Roman" w:hAnsi="Times New Roman" w:cs="Times New Roman"/>
          <w:sz w:val="24"/>
          <w:szCs w:val="24"/>
        </w:rPr>
        <w:t>Date:</w:t>
      </w:r>
    </w:p>
    <w:p w:rsidR="00BC02B4" w:rsidRPr="00BC02B4" w:rsidRDefault="00BC02B4" w:rsidP="00571794">
      <w:pPr>
        <w:spacing w:line="480" w:lineRule="auto"/>
        <w:rPr>
          <w:rFonts w:ascii="Times New Roman" w:hAnsi="Times New Roman" w:cs="Times New Roman"/>
          <w:sz w:val="24"/>
          <w:szCs w:val="24"/>
        </w:rPr>
      </w:pPr>
      <w:r w:rsidRPr="00BC02B4">
        <w:rPr>
          <w:rFonts w:ascii="Times New Roman" w:hAnsi="Times New Roman" w:cs="Times New Roman"/>
          <w:sz w:val="24"/>
          <w:szCs w:val="24"/>
        </w:rPr>
        <w:t xml:space="preserve">Mental and emotional health is as good as the body health. This, therefore, necessitates the importance of trauma-informed health services as well as caseworkers who are culturally sensitive. A clear definition of trauma-informed care (TIC) is one that assumes that an individual is more likely than not to have a history of </w:t>
      </w:r>
      <w:proofErr w:type="gramStart"/>
      <w:r w:rsidRPr="00BC02B4">
        <w:rPr>
          <w:rFonts w:ascii="Times New Roman" w:hAnsi="Times New Roman" w:cs="Times New Roman"/>
          <w:sz w:val="24"/>
          <w:szCs w:val="24"/>
        </w:rPr>
        <w:t>trauma</w:t>
      </w:r>
      <w:r w:rsidR="00571794">
        <w:rPr>
          <w:rFonts w:ascii="Times New Roman" w:hAnsi="Times New Roman" w:cs="Times New Roman"/>
          <w:sz w:val="24"/>
          <w:szCs w:val="24"/>
        </w:rPr>
        <w:t>(</w:t>
      </w:r>
      <w:proofErr w:type="gramEnd"/>
      <w:r w:rsidR="00571794">
        <w:rPr>
          <w:rFonts w:ascii="Times New Roman" w:hAnsi="Times New Roman" w:cs="Times New Roman"/>
          <w:sz w:val="24"/>
          <w:szCs w:val="24"/>
        </w:rPr>
        <w:t>War-Lasher, pg.202)</w:t>
      </w:r>
      <w:r w:rsidRPr="00BC02B4">
        <w:rPr>
          <w:rFonts w:ascii="Times New Roman" w:hAnsi="Times New Roman" w:cs="Times New Roman"/>
          <w:sz w:val="24"/>
          <w:szCs w:val="24"/>
        </w:rPr>
        <w:t>. It recognizes the presence of trauma symptoms, acknowledges the various dimensions of trauma and the impacts on both the individual and even the caregiver. It revolves around events, experiences and their effects. In all its approaches, it encompasses realization, recognition, and response and relapse resistance. Generally, its main pillars are safety, empowerment, and healing.</w:t>
      </w:r>
    </w:p>
    <w:p w:rsidR="00BC02B4" w:rsidRPr="00BC02B4" w:rsidRDefault="00BC02B4" w:rsidP="00BC02B4">
      <w:pPr>
        <w:spacing w:line="480" w:lineRule="auto"/>
        <w:rPr>
          <w:rFonts w:ascii="Times New Roman" w:hAnsi="Times New Roman" w:cs="Times New Roman"/>
          <w:sz w:val="24"/>
          <w:szCs w:val="24"/>
        </w:rPr>
      </w:pPr>
      <w:r w:rsidRPr="00BC02B4">
        <w:rPr>
          <w:rFonts w:ascii="Times New Roman" w:hAnsi="Times New Roman" w:cs="Times New Roman"/>
          <w:sz w:val="24"/>
          <w:szCs w:val="24"/>
        </w:rPr>
        <w:t xml:space="preserve">Trauma is often a deeply stressing event caused by exposure to extreme or unexpected events. It is an event that interferes with the usual coping capabilities of an individual. There is no clear cut line between stress, trauma, and adaptation. Shock and denial are the immediate actions associated. Trauma has many effects such as transgenerational stress and also post-traumatic stress (PTSD).PTSD manifests itself in the form of flashbacks of the stressor and intrusive unwanted thoughts about the event. Trauma leads to withdrawal due to feelings of isolation and despair. In the presence of the stressor events, the individuals have difficulties in coping with the recurrence. They often experience disturbing flashbacks. Recalling of past events is often an awakening of the subconscious self. The events related to the stressor, rewind old memories and </w:t>
      </w:r>
      <w:r w:rsidRPr="00BC02B4">
        <w:rPr>
          <w:rFonts w:ascii="Times New Roman" w:hAnsi="Times New Roman" w:cs="Times New Roman"/>
          <w:sz w:val="24"/>
          <w:szCs w:val="24"/>
        </w:rPr>
        <w:lastRenderedPageBreak/>
        <w:t>the individual ends up having double existence: everyday life and contemporary recollecti</w:t>
      </w:r>
      <w:r w:rsidR="000815FC">
        <w:rPr>
          <w:rFonts w:ascii="Times New Roman" w:hAnsi="Times New Roman" w:cs="Times New Roman"/>
          <w:sz w:val="24"/>
          <w:szCs w:val="24"/>
        </w:rPr>
        <w:t xml:space="preserve">on of past experiences. </w:t>
      </w:r>
      <w:proofErr w:type="spellStart"/>
      <w:r w:rsidR="000815FC">
        <w:rPr>
          <w:rFonts w:ascii="Times New Roman" w:hAnsi="Times New Roman" w:cs="Times New Roman"/>
          <w:sz w:val="24"/>
          <w:szCs w:val="24"/>
        </w:rPr>
        <w:t>Helzer</w:t>
      </w:r>
      <w:proofErr w:type="spellEnd"/>
      <w:r w:rsidRPr="00BC02B4">
        <w:rPr>
          <w:rFonts w:ascii="Times New Roman" w:hAnsi="Times New Roman" w:cs="Times New Roman"/>
          <w:sz w:val="24"/>
          <w:szCs w:val="24"/>
        </w:rPr>
        <w:t xml:space="preserve"> argues that deep memory is another issue. When the individual's deep memory is triggered, they are unable to separate the current events and those from the past which brings back the disturbing memories of p</w:t>
      </w:r>
      <w:r w:rsidR="000815FC">
        <w:rPr>
          <w:rFonts w:ascii="Times New Roman" w:hAnsi="Times New Roman" w:cs="Times New Roman"/>
          <w:sz w:val="24"/>
          <w:szCs w:val="24"/>
        </w:rPr>
        <w:t>ast experiences, (</w:t>
      </w:r>
      <w:proofErr w:type="spellStart"/>
      <w:r w:rsidR="000815FC">
        <w:rPr>
          <w:rFonts w:ascii="Times New Roman" w:hAnsi="Times New Roman" w:cs="Times New Roman"/>
          <w:sz w:val="24"/>
          <w:szCs w:val="24"/>
        </w:rPr>
        <w:t>Helzer</w:t>
      </w:r>
      <w:proofErr w:type="spellEnd"/>
      <w:r w:rsidR="000815FC">
        <w:rPr>
          <w:rFonts w:ascii="Times New Roman" w:hAnsi="Times New Roman" w:cs="Times New Roman"/>
          <w:sz w:val="24"/>
          <w:szCs w:val="24"/>
        </w:rPr>
        <w:t>, pg.1631</w:t>
      </w:r>
      <w:r w:rsidRPr="00BC02B4">
        <w:rPr>
          <w:rFonts w:ascii="Times New Roman" w:hAnsi="Times New Roman" w:cs="Times New Roman"/>
          <w:sz w:val="24"/>
          <w:szCs w:val="24"/>
        </w:rPr>
        <w:t>). These are memories that the individual has to struggle to erase. The other impact of trauma on memory according to Langberg is divided memory. The individuals have issues in having continuity and rigor of thoughts. Hardly can they connect events of the past with those of the future since their memories are often in anguish. Langberg explains that most individuals become suicidal because the disturbed memory causes more grief to their lives and misery hence the preference of death over life.</w:t>
      </w:r>
    </w:p>
    <w:p w:rsidR="00BC02B4" w:rsidRPr="00BC02B4" w:rsidRDefault="00BC02B4" w:rsidP="00BC02B4">
      <w:pPr>
        <w:spacing w:line="480" w:lineRule="auto"/>
        <w:rPr>
          <w:rFonts w:ascii="Times New Roman" w:hAnsi="Times New Roman" w:cs="Times New Roman"/>
          <w:sz w:val="24"/>
          <w:szCs w:val="24"/>
        </w:rPr>
      </w:pPr>
      <w:r w:rsidRPr="00BC02B4">
        <w:rPr>
          <w:rFonts w:ascii="Times New Roman" w:hAnsi="Times New Roman" w:cs="Times New Roman"/>
          <w:sz w:val="24"/>
          <w:szCs w:val="24"/>
        </w:rPr>
        <w:t xml:space="preserve">There are many causes of trauma. For children and adolescents, trauma can result from abusive parenting, domestic violence, and transgenerational stress, lack of basic needs such as shelter which exposes the child to hostile environments or exposure to traumatic events such as war. For adults, it could result from domestic violence, homelessness, exposure to traumatic events such as torture, human trafficking, loss of loved ones, </w:t>
      </w:r>
      <w:proofErr w:type="gramStart"/>
      <w:r w:rsidRPr="00BC02B4">
        <w:rPr>
          <w:rFonts w:ascii="Times New Roman" w:hAnsi="Times New Roman" w:cs="Times New Roman"/>
          <w:sz w:val="24"/>
          <w:szCs w:val="24"/>
        </w:rPr>
        <w:t>a</w:t>
      </w:r>
      <w:proofErr w:type="gramEnd"/>
      <w:r w:rsidRPr="00BC02B4">
        <w:rPr>
          <w:rFonts w:ascii="Times New Roman" w:hAnsi="Times New Roman" w:cs="Times New Roman"/>
          <w:sz w:val="24"/>
          <w:szCs w:val="24"/>
        </w:rPr>
        <w:t xml:space="preserve"> war to mention but a few.  The response to trauma varies from one individual to the other. It is also dependent on age, environment and the rate of healing. To assist the victims, the five principles of TIC must come to play.  These include safety, transparency and trustworthiness, choice, collaboration, and mutuality as well as empowerment</w:t>
      </w:r>
      <w:r w:rsidR="002F5358">
        <w:rPr>
          <w:rFonts w:ascii="Times New Roman" w:hAnsi="Times New Roman" w:cs="Times New Roman"/>
          <w:sz w:val="24"/>
          <w:szCs w:val="24"/>
        </w:rPr>
        <w:t xml:space="preserve"> (Bath, pg.17)</w:t>
      </w:r>
      <w:r w:rsidRPr="00BC02B4">
        <w:rPr>
          <w:rFonts w:ascii="Times New Roman" w:hAnsi="Times New Roman" w:cs="Times New Roman"/>
          <w:sz w:val="24"/>
          <w:szCs w:val="24"/>
        </w:rPr>
        <w:t>.</w:t>
      </w:r>
    </w:p>
    <w:p w:rsidR="00BC02B4" w:rsidRPr="00BC02B4" w:rsidRDefault="00BC02B4" w:rsidP="00BC02B4">
      <w:pPr>
        <w:spacing w:line="480" w:lineRule="auto"/>
        <w:rPr>
          <w:rFonts w:ascii="Times New Roman" w:hAnsi="Times New Roman" w:cs="Times New Roman"/>
          <w:sz w:val="24"/>
          <w:szCs w:val="24"/>
        </w:rPr>
      </w:pPr>
      <w:r w:rsidRPr="00BC02B4">
        <w:rPr>
          <w:rFonts w:ascii="Times New Roman" w:hAnsi="Times New Roman" w:cs="Times New Roman"/>
          <w:sz w:val="24"/>
          <w:szCs w:val="24"/>
        </w:rPr>
        <w:t xml:space="preserve">To incorporate an effective TIC program into health services, several dockets of the health service units must be involved.  The first is shelter services. These are necessary for homeless individuals or victims whose stressors are at their homes. The shelters should provide enough 24-hour security, medical care services, hotline, enough caregivers to offer intervention services and </w:t>
      </w:r>
      <w:r w:rsidRPr="00BC02B4">
        <w:rPr>
          <w:rFonts w:ascii="Times New Roman" w:hAnsi="Times New Roman" w:cs="Times New Roman"/>
          <w:sz w:val="24"/>
          <w:szCs w:val="24"/>
        </w:rPr>
        <w:lastRenderedPageBreak/>
        <w:t>monitor the victims, legal officers to assistant the affected victims, information center, transport services, and referral systems</w:t>
      </w:r>
      <w:r w:rsidR="00D16EA8">
        <w:rPr>
          <w:rFonts w:ascii="Times New Roman" w:hAnsi="Times New Roman" w:cs="Times New Roman"/>
          <w:sz w:val="24"/>
          <w:szCs w:val="24"/>
        </w:rPr>
        <w:t>(Hopper, pg.134)</w:t>
      </w:r>
      <w:r w:rsidRPr="00BC02B4">
        <w:rPr>
          <w:rFonts w:ascii="Times New Roman" w:hAnsi="Times New Roman" w:cs="Times New Roman"/>
          <w:sz w:val="24"/>
          <w:szCs w:val="24"/>
        </w:rPr>
        <w:t xml:space="preserve">. </w:t>
      </w:r>
    </w:p>
    <w:p w:rsidR="00BC02B4" w:rsidRPr="00BC02B4" w:rsidRDefault="00BC02B4" w:rsidP="00BC02B4">
      <w:pPr>
        <w:spacing w:line="480" w:lineRule="auto"/>
        <w:rPr>
          <w:rFonts w:ascii="Times New Roman" w:hAnsi="Times New Roman" w:cs="Times New Roman"/>
          <w:sz w:val="24"/>
          <w:szCs w:val="24"/>
        </w:rPr>
      </w:pPr>
      <w:r w:rsidRPr="00BC02B4">
        <w:rPr>
          <w:rFonts w:ascii="Times New Roman" w:hAnsi="Times New Roman" w:cs="Times New Roman"/>
          <w:sz w:val="24"/>
          <w:szCs w:val="24"/>
        </w:rPr>
        <w:t>Data and statistics are important in monitoring and evaluating progress. As a result, TIC is supported by an effective data collection system. This is important in planning and monitoring the progress of victims. However, there must be a sense of confidentiality in the statistics. Additionally, to obtain accurate statistics, the caregivers must have built a good rapport with the victims who then feel free giving details about themselves.</w:t>
      </w:r>
    </w:p>
    <w:p w:rsidR="00BC02B4" w:rsidRPr="00BC02B4" w:rsidRDefault="00BC02B4" w:rsidP="00BC02B4">
      <w:pPr>
        <w:spacing w:line="480" w:lineRule="auto"/>
        <w:rPr>
          <w:rFonts w:ascii="Times New Roman" w:hAnsi="Times New Roman" w:cs="Times New Roman"/>
          <w:sz w:val="24"/>
          <w:szCs w:val="24"/>
        </w:rPr>
      </w:pPr>
      <w:r w:rsidRPr="00BC02B4">
        <w:rPr>
          <w:rFonts w:ascii="Times New Roman" w:hAnsi="Times New Roman" w:cs="Times New Roman"/>
          <w:sz w:val="24"/>
          <w:szCs w:val="24"/>
        </w:rPr>
        <w:t>TIC incorporates empowerment, personal development, and growth. Any TIC shelter and program has a code on cooperative living. Elaborately, it is a written living agreement that outlines the responsibilities and different expectations for different individuals within the institution. Trauma victims have different reactions and unstable moods hence the need to have policies and an agreement on cooperative living.</w:t>
      </w:r>
    </w:p>
    <w:p w:rsidR="00BC02B4" w:rsidRPr="00BC02B4" w:rsidRDefault="00BC02B4" w:rsidP="00BC02B4">
      <w:pPr>
        <w:spacing w:line="480" w:lineRule="auto"/>
        <w:rPr>
          <w:rFonts w:ascii="Times New Roman" w:hAnsi="Times New Roman" w:cs="Times New Roman"/>
          <w:sz w:val="24"/>
          <w:szCs w:val="24"/>
        </w:rPr>
      </w:pPr>
      <w:r w:rsidRPr="00BC02B4">
        <w:rPr>
          <w:rFonts w:ascii="Times New Roman" w:hAnsi="Times New Roman" w:cs="Times New Roman"/>
          <w:sz w:val="24"/>
          <w:szCs w:val="24"/>
        </w:rPr>
        <w:t>Trauma victims require emergency reaction and stand-by response services. Consequently, any TIC program should have a crisis call hotline. Relapse is inevitable in trauma victims and some victims have violent reactions or react in ways that could cause trauma to the people around them or harm the victims. Ascribable to this is the need to have a caregiver responding to the calls all round the clock. Most importantly, the caregiver should be well trained and equipped with varied crisis management skills. Besides, the hotlines should be at least two, unrestricted accessibility to callers, have caller ID blocks and ensure that language barriers issues are well addressed. Compliance with confidentiality restraints and policies in such a center is mandatory. Often, trauma shelters subcontract companies to answer the hotline which must be approved by the Health and Human Services Commission (HHSC). Addressing the victims directly creates a better working relationship hence I would discourage the latter.</w:t>
      </w:r>
    </w:p>
    <w:p w:rsidR="00BC02B4" w:rsidRPr="00BC02B4" w:rsidRDefault="00BC02B4" w:rsidP="00BC02B4">
      <w:pPr>
        <w:spacing w:line="480" w:lineRule="auto"/>
        <w:rPr>
          <w:rFonts w:ascii="Times New Roman" w:hAnsi="Times New Roman" w:cs="Times New Roman"/>
          <w:sz w:val="24"/>
          <w:szCs w:val="24"/>
        </w:rPr>
      </w:pPr>
      <w:r w:rsidRPr="00BC02B4">
        <w:rPr>
          <w:rFonts w:ascii="Times New Roman" w:hAnsi="Times New Roman" w:cs="Times New Roman"/>
          <w:sz w:val="24"/>
          <w:szCs w:val="24"/>
        </w:rPr>
        <w:lastRenderedPageBreak/>
        <w:t>TIC necessitates integrative care. Besides counseling and casework, medical care and attention are necessary. For instance, a child who has been rescued from the streets having fled from home due to abusive parenting needs clinical and mental tests. Cases have been reported where a parent turns a child's hands for stealing sugar. In such a case emergency medical care is necessary. Owing to this a TIC center must maintain emergency medical care resources and emergency transportation services.</w:t>
      </w:r>
    </w:p>
    <w:p w:rsidR="00BC02B4" w:rsidRPr="00BC02B4" w:rsidRDefault="00BC02B4" w:rsidP="00BC02B4">
      <w:pPr>
        <w:spacing w:line="480" w:lineRule="auto"/>
        <w:rPr>
          <w:rFonts w:ascii="Times New Roman" w:hAnsi="Times New Roman" w:cs="Times New Roman"/>
          <w:sz w:val="24"/>
          <w:szCs w:val="24"/>
        </w:rPr>
      </w:pPr>
      <w:r w:rsidRPr="00BC02B4">
        <w:rPr>
          <w:rFonts w:ascii="Times New Roman" w:hAnsi="Times New Roman" w:cs="Times New Roman"/>
          <w:sz w:val="24"/>
          <w:szCs w:val="24"/>
        </w:rPr>
        <w:t>Providing shelter for trauma victims entails more than just rescue from the stressor environment. There should be medicines and drugs and the caregivers should train self-administration of the same. However, this only applies to mentally stable victims. Some of the victims have suicidal thoughts, therefore it's only prudent if there are methods for safekeeping of drugs and medications.</w:t>
      </w:r>
    </w:p>
    <w:p w:rsidR="00BC02B4" w:rsidRPr="00BC02B4" w:rsidRDefault="00BC02B4" w:rsidP="00BC02B4">
      <w:pPr>
        <w:spacing w:line="480" w:lineRule="auto"/>
        <w:rPr>
          <w:rFonts w:ascii="Times New Roman" w:hAnsi="Times New Roman" w:cs="Times New Roman"/>
          <w:sz w:val="24"/>
          <w:szCs w:val="24"/>
        </w:rPr>
      </w:pPr>
      <w:r w:rsidRPr="00BC02B4">
        <w:rPr>
          <w:rFonts w:ascii="Times New Roman" w:hAnsi="Times New Roman" w:cs="Times New Roman"/>
          <w:sz w:val="24"/>
          <w:szCs w:val="24"/>
        </w:rPr>
        <w:t>Every jungle has its own rules. Residential and non-residential orientation is necessary for providing TIC. Altho</w:t>
      </w:r>
      <w:r w:rsidR="00C55336">
        <w:rPr>
          <w:rFonts w:ascii="Times New Roman" w:hAnsi="Times New Roman" w:cs="Times New Roman"/>
          <w:sz w:val="24"/>
          <w:szCs w:val="24"/>
        </w:rPr>
        <w:t xml:space="preserve">ugh they are traumatized, </w:t>
      </w:r>
      <w:r w:rsidRPr="00BC02B4">
        <w:rPr>
          <w:rFonts w:ascii="Times New Roman" w:hAnsi="Times New Roman" w:cs="Times New Roman"/>
          <w:sz w:val="24"/>
          <w:szCs w:val="24"/>
        </w:rPr>
        <w:t>some order is necessary for effective management. Therefore, a shelter center should not only have a well-stipulated length of stay rules, termination policy, grievance procedures, rights, liability waivers, wellness checks as well as non-discrimination policies.</w:t>
      </w:r>
    </w:p>
    <w:p w:rsidR="00BC02B4" w:rsidRDefault="00BC02B4" w:rsidP="00BC02B4">
      <w:pPr>
        <w:spacing w:line="480" w:lineRule="auto"/>
        <w:rPr>
          <w:rFonts w:ascii="Times New Roman" w:hAnsi="Times New Roman" w:cs="Times New Roman"/>
          <w:sz w:val="24"/>
          <w:szCs w:val="24"/>
        </w:rPr>
      </w:pPr>
      <w:r w:rsidRPr="00BC02B4">
        <w:rPr>
          <w:rFonts w:ascii="Times New Roman" w:hAnsi="Times New Roman" w:cs="Times New Roman"/>
          <w:sz w:val="24"/>
          <w:szCs w:val="24"/>
        </w:rPr>
        <w:t>Service delivery is varied in any efficient TIC program. The caregivers should have a clear intervention plan for children, resident, and non-resident victims as well as their families. Group intervention is necessary for externalizing issues but should be applied with caution. All intervention programs should be culture, religion, and ethic-sensitive. Children should be treated with more care due to their vulnerability to the events happening around them. Finally, each measure should be within the confines of the law and for the good of the victim.</w:t>
      </w:r>
    </w:p>
    <w:p w:rsidR="003C6B6E" w:rsidRDefault="003C6B6E" w:rsidP="003C6B6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2F5358" w:rsidRDefault="002F5358" w:rsidP="00BC02B4">
      <w:pPr>
        <w:spacing w:line="480" w:lineRule="auto"/>
        <w:rPr>
          <w:rFonts w:ascii="Times New Roman" w:hAnsi="Times New Roman" w:cs="Times New Roman"/>
          <w:sz w:val="24"/>
          <w:szCs w:val="24"/>
        </w:rPr>
      </w:pPr>
      <w:r w:rsidRPr="00571794">
        <w:rPr>
          <w:rFonts w:ascii="Times New Roman" w:hAnsi="Times New Roman" w:cs="Times New Roman"/>
          <w:sz w:val="24"/>
          <w:szCs w:val="24"/>
        </w:rPr>
        <w:t>Bath, Howard. "The three pillars of trauma-informed care." Reclaiming children and youth 17.3 (2008): 17-21.</w:t>
      </w:r>
    </w:p>
    <w:p w:rsidR="002F5358" w:rsidRDefault="002F5358" w:rsidP="00BC02B4">
      <w:pPr>
        <w:spacing w:line="480" w:lineRule="auto"/>
        <w:rPr>
          <w:rFonts w:ascii="Times New Roman" w:hAnsi="Times New Roman" w:cs="Times New Roman"/>
          <w:sz w:val="24"/>
          <w:szCs w:val="24"/>
        </w:rPr>
      </w:pPr>
      <w:proofErr w:type="spellStart"/>
      <w:r w:rsidRPr="00571794">
        <w:rPr>
          <w:rFonts w:ascii="Times New Roman" w:hAnsi="Times New Roman" w:cs="Times New Roman"/>
          <w:sz w:val="24"/>
          <w:szCs w:val="24"/>
        </w:rPr>
        <w:t>Helzer</w:t>
      </w:r>
      <w:proofErr w:type="spellEnd"/>
      <w:r w:rsidRPr="00571794">
        <w:rPr>
          <w:rFonts w:ascii="Times New Roman" w:hAnsi="Times New Roman" w:cs="Times New Roman"/>
          <w:sz w:val="24"/>
          <w:szCs w:val="24"/>
        </w:rPr>
        <w:t>, John E., Lee N. Robins, and Larry McEvoy. "Post-traumatic stress disorder in the general population." New England Journal of Medicine 317.26 (1987): 1630-1634.</w:t>
      </w:r>
    </w:p>
    <w:p w:rsidR="002F5358" w:rsidRDefault="002F5358" w:rsidP="00BC02B4">
      <w:pPr>
        <w:spacing w:line="480" w:lineRule="auto"/>
        <w:rPr>
          <w:rFonts w:ascii="Times New Roman" w:hAnsi="Times New Roman" w:cs="Times New Roman"/>
          <w:sz w:val="24"/>
          <w:szCs w:val="24"/>
        </w:rPr>
      </w:pPr>
      <w:r w:rsidRPr="00571794">
        <w:rPr>
          <w:rFonts w:ascii="Times New Roman" w:hAnsi="Times New Roman" w:cs="Times New Roman"/>
          <w:sz w:val="24"/>
          <w:szCs w:val="24"/>
        </w:rPr>
        <w:t xml:space="preserve">Hopper, Elizabeth K., Ellen L. </w:t>
      </w:r>
      <w:proofErr w:type="spellStart"/>
      <w:r w:rsidRPr="00571794">
        <w:rPr>
          <w:rFonts w:ascii="Times New Roman" w:hAnsi="Times New Roman" w:cs="Times New Roman"/>
          <w:sz w:val="24"/>
          <w:szCs w:val="24"/>
        </w:rPr>
        <w:t>Bassuk</w:t>
      </w:r>
      <w:proofErr w:type="spellEnd"/>
      <w:r w:rsidRPr="00571794">
        <w:rPr>
          <w:rFonts w:ascii="Times New Roman" w:hAnsi="Times New Roman" w:cs="Times New Roman"/>
          <w:sz w:val="24"/>
          <w:szCs w:val="24"/>
        </w:rPr>
        <w:t>, and Jeffrey Olivet. "Shelter from the Storm: Trauma-Informed Care in Homelessness Services Settings." Open Health Services and Policy Journal 2 (2009): 131-151.</w:t>
      </w:r>
    </w:p>
    <w:p w:rsidR="002F5358" w:rsidRDefault="002F5358" w:rsidP="00BC02B4">
      <w:pPr>
        <w:spacing w:line="480" w:lineRule="auto"/>
        <w:rPr>
          <w:rFonts w:ascii="Times New Roman" w:hAnsi="Times New Roman" w:cs="Times New Roman"/>
          <w:sz w:val="24"/>
          <w:szCs w:val="24"/>
        </w:rPr>
      </w:pPr>
      <w:r w:rsidRPr="003C6B6E">
        <w:rPr>
          <w:rFonts w:ascii="Times New Roman" w:hAnsi="Times New Roman" w:cs="Times New Roman"/>
          <w:sz w:val="24"/>
          <w:szCs w:val="24"/>
        </w:rPr>
        <w:t>Ward-Lasher, Allison, Jill Messing, and Jillian Stein-</w:t>
      </w:r>
      <w:proofErr w:type="spellStart"/>
      <w:r w:rsidRPr="003C6B6E">
        <w:rPr>
          <w:rFonts w:ascii="Times New Roman" w:hAnsi="Times New Roman" w:cs="Times New Roman"/>
          <w:sz w:val="24"/>
          <w:szCs w:val="24"/>
        </w:rPr>
        <w:t>Seroussi</w:t>
      </w:r>
      <w:proofErr w:type="spellEnd"/>
      <w:r w:rsidRPr="003C6B6E">
        <w:rPr>
          <w:rFonts w:ascii="Times New Roman" w:hAnsi="Times New Roman" w:cs="Times New Roman"/>
          <w:sz w:val="24"/>
          <w:szCs w:val="24"/>
        </w:rPr>
        <w:t>. "Implementation of trauma-informed care in a housing first program for survivors of intimate partner violence: a case study." Advances in social work 18.1 (2017): 202-216.</w:t>
      </w:r>
    </w:p>
    <w:p w:rsidR="00E33761" w:rsidRDefault="00E33761" w:rsidP="00BC02B4">
      <w:pPr>
        <w:spacing w:line="480" w:lineRule="auto"/>
        <w:rPr>
          <w:rFonts w:ascii="Times New Roman" w:hAnsi="Times New Roman" w:cs="Times New Roman"/>
          <w:sz w:val="24"/>
          <w:szCs w:val="24"/>
        </w:rPr>
      </w:pPr>
      <w:hyperlink r:id="rId6" w:history="1">
        <w:r w:rsidRPr="0003068E">
          <w:rPr>
            <w:rStyle w:val="Hyperlink"/>
            <w:rFonts w:ascii="Times New Roman" w:hAnsi="Times New Roman" w:cs="Times New Roman"/>
            <w:sz w:val="24"/>
            <w:szCs w:val="24"/>
          </w:rPr>
          <w:t>http://txrules.elaws.us/rule/title1_chapter379</w:t>
        </w:r>
      </w:hyperlink>
    </w:p>
    <w:p w:rsidR="00E33761" w:rsidRDefault="00E33761" w:rsidP="00BC02B4">
      <w:pPr>
        <w:spacing w:line="480" w:lineRule="auto"/>
        <w:rPr>
          <w:rFonts w:ascii="Times New Roman" w:hAnsi="Times New Roman" w:cs="Times New Roman"/>
          <w:sz w:val="24"/>
          <w:szCs w:val="24"/>
        </w:rPr>
      </w:pPr>
      <w:bookmarkStart w:id="0" w:name="_GoBack"/>
      <w:bookmarkEnd w:id="0"/>
    </w:p>
    <w:p w:rsidR="00571794" w:rsidRPr="00BC02B4" w:rsidRDefault="00571794" w:rsidP="00BC02B4">
      <w:pPr>
        <w:spacing w:line="480" w:lineRule="auto"/>
        <w:rPr>
          <w:rFonts w:ascii="Times New Roman" w:hAnsi="Times New Roman" w:cs="Times New Roman"/>
          <w:sz w:val="24"/>
          <w:szCs w:val="24"/>
        </w:rPr>
      </w:pPr>
    </w:p>
    <w:p w:rsidR="00BC02B4" w:rsidRPr="00BC02B4" w:rsidRDefault="00BC02B4" w:rsidP="00BC02B4">
      <w:pPr>
        <w:spacing w:line="480" w:lineRule="auto"/>
        <w:rPr>
          <w:rFonts w:ascii="Times New Roman" w:hAnsi="Times New Roman" w:cs="Times New Roman"/>
          <w:sz w:val="24"/>
          <w:szCs w:val="24"/>
        </w:rPr>
      </w:pPr>
    </w:p>
    <w:p w:rsidR="00BC02B4" w:rsidRPr="00BC02B4" w:rsidRDefault="00BC02B4" w:rsidP="00BC02B4">
      <w:pPr>
        <w:spacing w:line="480" w:lineRule="auto"/>
        <w:rPr>
          <w:rFonts w:ascii="Times New Roman" w:hAnsi="Times New Roman" w:cs="Times New Roman"/>
          <w:sz w:val="24"/>
          <w:szCs w:val="24"/>
        </w:rPr>
      </w:pPr>
    </w:p>
    <w:p w:rsidR="007A44DF" w:rsidRPr="00BC02B4" w:rsidRDefault="007A44DF" w:rsidP="00BC02B4">
      <w:pPr>
        <w:spacing w:line="480" w:lineRule="auto"/>
      </w:pPr>
    </w:p>
    <w:sectPr w:rsidR="007A44DF" w:rsidRPr="00BC02B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33A5" w:rsidRDefault="000233A5" w:rsidP="002F5358">
      <w:pPr>
        <w:spacing w:after="0" w:line="240" w:lineRule="auto"/>
      </w:pPr>
      <w:r>
        <w:separator/>
      </w:r>
    </w:p>
  </w:endnote>
  <w:endnote w:type="continuationSeparator" w:id="0">
    <w:p w:rsidR="000233A5" w:rsidRDefault="000233A5" w:rsidP="002F53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33A5" w:rsidRDefault="000233A5" w:rsidP="002F5358">
      <w:pPr>
        <w:spacing w:after="0" w:line="240" w:lineRule="auto"/>
      </w:pPr>
      <w:r>
        <w:separator/>
      </w:r>
    </w:p>
  </w:footnote>
  <w:footnote w:type="continuationSeparator" w:id="0">
    <w:p w:rsidR="000233A5" w:rsidRDefault="000233A5" w:rsidP="002F53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598511"/>
      <w:docPartObj>
        <w:docPartGallery w:val="Page Numbers (Top of Page)"/>
        <w:docPartUnique/>
      </w:docPartObj>
    </w:sdtPr>
    <w:sdtEndPr>
      <w:rPr>
        <w:noProof/>
      </w:rPr>
    </w:sdtEndPr>
    <w:sdtContent>
      <w:p w:rsidR="002F5358" w:rsidRDefault="002F5358">
        <w:pPr>
          <w:pStyle w:val="Header"/>
          <w:jc w:val="right"/>
        </w:pPr>
        <w:r w:rsidRPr="002F5358">
          <w:rPr>
            <w:rFonts w:ascii="Times New Roman" w:hAnsi="Times New Roman" w:cs="Times New Roman"/>
            <w:sz w:val="24"/>
            <w:szCs w:val="24"/>
          </w:rPr>
          <w:t>Surname</w:t>
        </w:r>
        <w:r>
          <w:t xml:space="preserve"> </w:t>
        </w:r>
        <w:r>
          <w:fldChar w:fldCharType="begin"/>
        </w:r>
        <w:r>
          <w:instrText xml:space="preserve"> PAGE   \* MERGEFORMAT </w:instrText>
        </w:r>
        <w:r>
          <w:fldChar w:fldCharType="separate"/>
        </w:r>
        <w:r w:rsidR="00E33761">
          <w:rPr>
            <w:noProof/>
          </w:rPr>
          <w:t>4</w:t>
        </w:r>
        <w:r>
          <w:rPr>
            <w:noProof/>
          </w:rPr>
          <w:fldChar w:fldCharType="end"/>
        </w:r>
      </w:p>
    </w:sdtContent>
  </w:sdt>
  <w:p w:rsidR="002F5358" w:rsidRDefault="002F53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D3F"/>
    <w:rsid w:val="000233A5"/>
    <w:rsid w:val="00057BBC"/>
    <w:rsid w:val="000815FC"/>
    <w:rsid w:val="00290DA8"/>
    <w:rsid w:val="002F5358"/>
    <w:rsid w:val="003C6B6E"/>
    <w:rsid w:val="00416063"/>
    <w:rsid w:val="00492255"/>
    <w:rsid w:val="004A5EE8"/>
    <w:rsid w:val="00571794"/>
    <w:rsid w:val="00612809"/>
    <w:rsid w:val="00614821"/>
    <w:rsid w:val="00694ABE"/>
    <w:rsid w:val="006D2028"/>
    <w:rsid w:val="0079172E"/>
    <w:rsid w:val="007A44DF"/>
    <w:rsid w:val="00975DFC"/>
    <w:rsid w:val="00A07F69"/>
    <w:rsid w:val="00A34066"/>
    <w:rsid w:val="00BA3A1A"/>
    <w:rsid w:val="00BC02B4"/>
    <w:rsid w:val="00BC52E2"/>
    <w:rsid w:val="00C55336"/>
    <w:rsid w:val="00CC7C4E"/>
    <w:rsid w:val="00CF3D3F"/>
    <w:rsid w:val="00D16EA8"/>
    <w:rsid w:val="00E337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C015CE-C5CF-4FB9-9376-E985F236C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53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358"/>
  </w:style>
  <w:style w:type="paragraph" w:styleId="Footer">
    <w:name w:val="footer"/>
    <w:basedOn w:val="Normal"/>
    <w:link w:val="FooterChar"/>
    <w:uiPriority w:val="99"/>
    <w:unhideWhenUsed/>
    <w:rsid w:val="002F53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358"/>
  </w:style>
  <w:style w:type="character" w:styleId="Hyperlink">
    <w:name w:val="Hyperlink"/>
    <w:basedOn w:val="DefaultParagraphFont"/>
    <w:uiPriority w:val="99"/>
    <w:unhideWhenUsed/>
    <w:rsid w:val="00E3376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xrules.elaws.us/rule/title1_chapter379"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5</Pages>
  <Words>1251</Words>
  <Characters>7136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14</cp:revision>
  <dcterms:created xsi:type="dcterms:W3CDTF">2019-10-29T18:37:00Z</dcterms:created>
  <dcterms:modified xsi:type="dcterms:W3CDTF">2019-10-29T21:30:00Z</dcterms:modified>
</cp:coreProperties>
</file>